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1BBF" w14:textId="77777777" w:rsidR="005E16F8" w:rsidRDefault="005E16F8" w:rsidP="005E16F8">
      <w:pPr>
        <w:rPr>
          <w:rStyle w:val="normaltextrun"/>
          <w:rFonts w:ascii="Aptos" w:hAnsi="Aptos" w:cs="Segoe UI"/>
          <w:b/>
          <w:bCs/>
          <w:color w:val="0070C0"/>
          <w:sz w:val="32"/>
          <w:szCs w:val="32"/>
        </w:rPr>
      </w:pPr>
    </w:p>
    <w:p w14:paraId="54A81711" w14:textId="09190406" w:rsidR="005E16F8" w:rsidRPr="005E16F8" w:rsidRDefault="005E16F8" w:rsidP="005E16F8">
      <w:pPr>
        <w:rPr>
          <w:rFonts w:ascii="Aptos" w:hAnsi="Aptos" w:cs="Segoe UI"/>
          <w:color w:val="0070C0"/>
          <w:sz w:val="32"/>
          <w:szCs w:val="32"/>
          <w:bdr w:val="none" w:sz="0" w:space="0" w:color="auto" w:frame="1"/>
          <w:shd w:val="clear" w:color="auto" w:fill="C6C6C6"/>
        </w:rPr>
      </w:pPr>
      <w:r>
        <w:rPr>
          <w:rStyle w:val="normaltextrun"/>
          <w:rFonts w:ascii="Aptos" w:hAnsi="Aptos" w:cs="Segoe UI"/>
          <w:b/>
          <w:bCs/>
          <w:color w:val="0070C0"/>
          <w:sz w:val="32"/>
          <w:szCs w:val="32"/>
        </w:rPr>
        <w:t>Community rail and rail reform policy paper: </w:t>
      </w:r>
      <w:r>
        <w:rPr>
          <w:rStyle w:val="scxw102933699"/>
          <w:rFonts w:ascii="Aptos" w:hAnsi="Aptos" w:cs="Segoe UI"/>
          <w:color w:val="0070C0"/>
          <w:sz w:val="32"/>
          <w:szCs w:val="32"/>
        </w:rPr>
        <w:t> </w:t>
      </w:r>
      <w:r>
        <w:br/>
      </w:r>
      <w:r>
        <w:rPr>
          <w:rStyle w:val="normaltextrun"/>
          <w:rFonts w:ascii="Aptos" w:hAnsi="Aptos" w:cs="Segoe UI"/>
          <w:b/>
          <w:bCs/>
          <w:color w:val="0070C0"/>
          <w:sz w:val="32"/>
          <w:szCs w:val="32"/>
        </w:rPr>
        <w:t>Recognition &amp; support for community rail</w:t>
      </w:r>
    </w:p>
    <w:p w14:paraId="5BC43441" w14:textId="06C72942" w:rsidR="005E16F8" w:rsidRPr="005E16F8" w:rsidRDefault="005E16F8" w:rsidP="005E16F8">
      <w:pPr>
        <w:rPr>
          <w:rFonts w:ascii="Aptos" w:hAnsi="Aptos" w:cs="Segoe UI"/>
          <w:b/>
          <w:bCs/>
        </w:rPr>
      </w:pPr>
      <w:r>
        <w:rPr>
          <w:rStyle w:val="normaltextrun"/>
          <w:rFonts w:ascii="Aptos" w:hAnsi="Aptos" w:cs="Segoe UI"/>
          <w:b/>
          <w:bCs/>
        </w:rPr>
        <w:t>This paper sets out Community Rail Network’s core recommendations for seizing the opportunities of rail reform to further develop the community rail movement and its positive impacts across Britain. </w:t>
      </w:r>
      <w:r>
        <w:rPr>
          <w:rStyle w:val="normaltextrun"/>
          <w:rFonts w:ascii="Aptos" w:hAnsi="Aptos" w:cs="Segoe UI"/>
        </w:rPr>
        <w:t xml:space="preserve">It is intended to support discussions and feed into the development of </w:t>
      </w:r>
      <w:hyperlink r:id="rId7" w:history="1">
        <w:r w:rsidRPr="005F757F">
          <w:rPr>
            <w:rStyle w:val="Hyperlink"/>
            <w:rFonts w:ascii="Aptos" w:hAnsi="Aptos" w:cs="Segoe UI"/>
          </w:rPr>
          <w:t>Great British Railways</w:t>
        </w:r>
      </w:hyperlink>
      <w:r>
        <w:rPr>
          <w:rStyle w:val="normaltextrun"/>
          <w:rFonts w:ascii="Aptos" w:hAnsi="Aptos" w:cs="Segoe UI"/>
        </w:rPr>
        <w:t xml:space="preserve"> </w:t>
      </w:r>
      <w:r w:rsidR="005F757F">
        <w:rPr>
          <w:rStyle w:val="normaltextrun"/>
          <w:rFonts w:ascii="Aptos" w:hAnsi="Aptos" w:cs="Segoe UI"/>
        </w:rPr>
        <w:t xml:space="preserve">(GBR) </w:t>
      </w:r>
      <w:r>
        <w:rPr>
          <w:rStyle w:val="normaltextrun"/>
          <w:rFonts w:ascii="Aptos" w:hAnsi="Aptos" w:cs="Segoe UI"/>
        </w:rPr>
        <w:t>and wider rail policy and decision-making.</w:t>
      </w:r>
    </w:p>
    <w:p w14:paraId="111584BF" w14:textId="35664056" w:rsidR="005E16F8" w:rsidRDefault="005E16F8" w:rsidP="005E16F8">
      <w:pPr>
        <w:rPr>
          <w:rFonts w:ascii="Segoe UI" w:hAnsi="Segoe UI"/>
          <w:sz w:val="18"/>
          <w:szCs w:val="18"/>
        </w:rPr>
      </w:pPr>
      <w:r>
        <w:rPr>
          <w:rStyle w:val="normaltextrun"/>
          <w:rFonts w:ascii="Aptos" w:hAnsi="Aptos" w:cs="Segoe UI"/>
        </w:rPr>
        <w:t>It draws on Community Rail Network’s decades of experience supporting community rail to grow and thrive, the insights and voices of our members, and the opportunities we’ve identified together for increasing our impact.</w:t>
      </w:r>
    </w:p>
    <w:p w14:paraId="019252C8" w14:textId="79CD528F" w:rsidR="005E16F8" w:rsidRDefault="005E16F8" w:rsidP="005E16F8">
      <w:pPr>
        <w:rPr>
          <w:rFonts w:ascii="Segoe UI" w:hAnsi="Segoe UI"/>
          <w:sz w:val="18"/>
          <w:szCs w:val="18"/>
        </w:rPr>
      </w:pPr>
      <w:r>
        <w:rPr>
          <w:rStyle w:val="normaltextrun"/>
          <w:rFonts w:ascii="Aptos" w:hAnsi="Aptos" w:cs="Segoe UI"/>
        </w:rPr>
        <w:t xml:space="preserve">It can be read alongside </w:t>
      </w:r>
      <w:hyperlink r:id="rId8" w:history="1">
        <w:r w:rsidRPr="00855841">
          <w:rPr>
            <w:rStyle w:val="Hyperlink"/>
            <w:rFonts w:ascii="Aptos" w:hAnsi="Aptos" w:cs="Segoe UI"/>
          </w:rPr>
          <w:t>three more policy papers</w:t>
        </w:r>
      </w:hyperlink>
      <w:r>
        <w:rPr>
          <w:rStyle w:val="normaltextrun"/>
          <w:rFonts w:ascii="Aptos" w:hAnsi="Aptos" w:cs="Segoe UI"/>
        </w:rPr>
        <w:t xml:space="preserve"> recommending ways to utilise rail reform to develop three key spheres of community rail activity: </w:t>
      </w:r>
      <w:r w:rsidR="005F757F" w:rsidRPr="00855841">
        <w:rPr>
          <w:rFonts w:ascii="Aptos" w:hAnsi="Aptos" w:cs="Segoe UI"/>
        </w:rPr>
        <w:t>stations at the heart of communities</w:t>
      </w:r>
      <w:r w:rsidR="005F757F">
        <w:rPr>
          <w:rStyle w:val="normaltextrun"/>
          <w:rFonts w:ascii="Aptos" w:hAnsi="Aptos" w:cs="Segoe UI"/>
        </w:rPr>
        <w:t xml:space="preserve">; </w:t>
      </w:r>
      <w:r w:rsidR="005F757F" w:rsidRPr="00855841">
        <w:rPr>
          <w:rFonts w:ascii="Aptos" w:hAnsi="Aptos" w:cs="Segoe UI"/>
        </w:rPr>
        <w:t>inclusive and accessible rail</w:t>
      </w:r>
      <w:r w:rsidR="005F757F">
        <w:rPr>
          <w:rStyle w:val="normaltextrun"/>
          <w:rFonts w:ascii="Aptos" w:hAnsi="Aptos" w:cs="Segoe UI"/>
        </w:rPr>
        <w:t xml:space="preserve">; </w:t>
      </w:r>
      <w:r w:rsidR="005F757F" w:rsidRPr="00855841">
        <w:rPr>
          <w:rFonts w:ascii="Aptos" w:hAnsi="Aptos" w:cs="Segoe UI"/>
        </w:rPr>
        <w:t>integrated sustainable travel</w:t>
      </w:r>
      <w:r w:rsidR="005F757F">
        <w:rPr>
          <w:rStyle w:val="normaltextrun"/>
          <w:rFonts w:ascii="Aptos" w:hAnsi="Aptos" w:cs="Segoe UI"/>
        </w:rPr>
        <w:t xml:space="preserve">. </w:t>
      </w:r>
    </w:p>
    <w:p w14:paraId="657E6964" w14:textId="2EBEF79D" w:rsidR="005E16F8" w:rsidRPr="000A040B" w:rsidRDefault="005E16F8" w:rsidP="005E16F8">
      <w:pPr>
        <w:rPr>
          <w:rFonts w:ascii="Segoe UI" w:hAnsi="Segoe UI"/>
          <w:sz w:val="20"/>
          <w:szCs w:val="20"/>
        </w:rPr>
      </w:pPr>
      <w:r w:rsidRPr="000A040B">
        <w:rPr>
          <w:rStyle w:val="normaltextrun"/>
          <w:rFonts w:ascii="Aptos" w:hAnsi="Aptos" w:cs="Segoe UI"/>
          <w:b/>
          <w:bCs/>
          <w:color w:val="0070C0"/>
          <w:sz w:val="24"/>
          <w:szCs w:val="24"/>
        </w:rPr>
        <w:t>About us</w:t>
      </w:r>
    </w:p>
    <w:p w14:paraId="3D9E1E03" w14:textId="0382F024" w:rsidR="005E16F8" w:rsidRDefault="005E16F8" w:rsidP="005E16F8">
      <w:pPr>
        <w:rPr>
          <w:rFonts w:ascii="Segoe UI" w:hAnsi="Segoe UI"/>
          <w:sz w:val="18"/>
          <w:szCs w:val="18"/>
        </w:rPr>
      </w:pPr>
      <w:hyperlink r:id="rId9" w:tgtFrame="_blank" w:history="1">
        <w:r>
          <w:rPr>
            <w:rStyle w:val="normaltextrun"/>
            <w:rFonts w:ascii="Aptos" w:hAnsi="Aptos" w:cs="Segoe UI"/>
            <w:color w:val="467886"/>
            <w:u w:val="single"/>
          </w:rPr>
          <w:t>Community rail</w:t>
        </w:r>
      </w:hyperlink>
      <w:r>
        <w:rPr>
          <w:rStyle w:val="normaltextrun"/>
          <w:rFonts w:ascii="Aptos" w:hAnsi="Aptos" w:cs="Segoe UI"/>
        </w:rPr>
        <w:t> is a thriving grassroots movement spread across England, Scotland and Wales, now (July 2026) comprising of </w:t>
      </w:r>
      <w:r>
        <w:rPr>
          <w:rStyle w:val="normaltextrun"/>
          <w:rFonts w:ascii="Aptos" w:hAnsi="Aptos" w:cs="Segoe UI"/>
          <w:b/>
          <w:bCs/>
        </w:rPr>
        <w:t>78 community rail partnerships (CRPs, covering 35% of Britain’s railways) and 1,300 station groups (at half of Britain’s stations)</w:t>
      </w:r>
      <w:r>
        <w:rPr>
          <w:rStyle w:val="normaltextrun"/>
          <w:rFonts w:ascii="Aptos" w:hAnsi="Aptos" w:cs="Segoe UI"/>
        </w:rPr>
        <w:t>. It exists to engage and empower communities, helping them to get greater benefit from their railways and stations. It is uniquely placed to support a rail network that is passenger-focused, locally responsive and aligned with wide-ranging social, environmental and economic objectives. </w:t>
      </w:r>
      <w:hyperlink r:id="rId10" w:tgtFrame="_blank" w:history="1">
        <w:r>
          <w:rPr>
            <w:rStyle w:val="normaltextrun"/>
            <w:rFonts w:ascii="Aptos" w:hAnsi="Aptos" w:cs="Segoe UI"/>
            <w:color w:val="467886"/>
            <w:u w:val="single"/>
          </w:rPr>
          <w:t>Our evidence</w:t>
        </w:r>
      </w:hyperlink>
      <w:r>
        <w:rPr>
          <w:rStyle w:val="normaltextrun"/>
          <w:rFonts w:ascii="Aptos" w:hAnsi="Aptos" w:cs="Segoe UI"/>
        </w:rPr>
        <w:t> shows community rail engages c.125k community members each year and collaborates with thousands of community partners, to deliver a </w:t>
      </w:r>
      <w:r>
        <w:rPr>
          <w:rStyle w:val="normaltextrun"/>
          <w:rFonts w:ascii="Aptos" w:hAnsi="Aptos" w:cs="Segoe UI"/>
          <w:b/>
          <w:bCs/>
        </w:rPr>
        <w:t>social return on investment of almost £18 for each £1 of funding</w:t>
      </w:r>
      <w:r>
        <w:rPr>
          <w:rStyle w:val="normaltextrun"/>
          <w:rFonts w:ascii="Aptos" w:hAnsi="Aptos" w:cs="Segoe UI"/>
        </w:rPr>
        <w:t>.</w:t>
      </w:r>
    </w:p>
    <w:p w14:paraId="75F2219E" w14:textId="6AE23038" w:rsidR="005E16F8" w:rsidRDefault="005E16F8" w:rsidP="005E16F8">
      <w:pPr>
        <w:rPr>
          <w:rFonts w:ascii="Segoe UI" w:hAnsi="Segoe UI"/>
          <w:sz w:val="18"/>
          <w:szCs w:val="18"/>
        </w:rPr>
      </w:pPr>
      <w:hyperlink r:id="rId11" w:tgtFrame="_blank" w:history="1">
        <w:r>
          <w:rPr>
            <w:rStyle w:val="normaltextrun"/>
            <w:rFonts w:ascii="Aptos" w:hAnsi="Aptos" w:cs="Segoe UI"/>
            <w:color w:val="467886"/>
            <w:u w:val="single"/>
          </w:rPr>
          <w:t>Community Rail Network</w:t>
        </w:r>
      </w:hyperlink>
      <w:r>
        <w:rPr>
          <w:rStyle w:val="normaltextrun"/>
          <w:rFonts w:ascii="Aptos" w:hAnsi="Aptos" w:cs="Segoe UI"/>
        </w:rPr>
        <w:t> is the not-for-profit umbrella body that supports, champions, and represents community rail. We support the movement in connecting people and their railways, contributing to inclusive, empowered, sustainable and healthy communities, and we are the lead delivery partner in the Department for Transport’s </w:t>
      </w:r>
      <w:hyperlink r:id="rId12" w:tgtFrame="_blank" w:history="1">
        <w:r>
          <w:rPr>
            <w:rStyle w:val="normaltextrun"/>
            <w:rFonts w:ascii="Aptos" w:hAnsi="Aptos" w:cs="Segoe UI"/>
            <w:color w:val="467886"/>
            <w:u w:val="single"/>
          </w:rPr>
          <w:t>Community Rail Development Strategy</w:t>
        </w:r>
      </w:hyperlink>
      <w:r>
        <w:rPr>
          <w:rStyle w:val="normaltextrun"/>
          <w:rFonts w:ascii="Aptos" w:hAnsi="Aptos" w:cs="Segoe UI"/>
        </w:rPr>
        <w:t>. Find out more at </w:t>
      </w:r>
      <w:hyperlink r:id="rId13" w:tgtFrame="_blank" w:history="1">
        <w:r>
          <w:rPr>
            <w:rStyle w:val="normaltextrun"/>
            <w:rFonts w:ascii="Aptos" w:hAnsi="Aptos" w:cs="Segoe UI"/>
            <w:color w:val="467886"/>
            <w:u w:val="single"/>
          </w:rPr>
          <w:t>communityrail.org.uk</w:t>
        </w:r>
      </w:hyperlink>
      <w:r>
        <w:rPr>
          <w:rStyle w:val="normaltextrun"/>
          <w:rFonts w:ascii="Aptos" w:hAnsi="Aptos" w:cs="Segoe UI"/>
        </w:rPr>
        <w:t>.</w:t>
      </w:r>
    </w:p>
    <w:p w14:paraId="6500A401" w14:textId="0260D42D" w:rsidR="005E16F8" w:rsidRPr="000A040B" w:rsidRDefault="005E16F8" w:rsidP="005E16F8">
      <w:pPr>
        <w:rPr>
          <w:rFonts w:ascii="Segoe UI" w:hAnsi="Segoe UI"/>
          <w:sz w:val="20"/>
          <w:szCs w:val="20"/>
        </w:rPr>
      </w:pPr>
      <w:r w:rsidRPr="000A040B">
        <w:rPr>
          <w:rStyle w:val="normaltextrun"/>
          <w:rFonts w:ascii="Aptos" w:hAnsi="Aptos" w:cs="Segoe UI"/>
          <w:b/>
          <w:bCs/>
          <w:color w:val="0070C0"/>
          <w:sz w:val="24"/>
          <w:szCs w:val="24"/>
        </w:rPr>
        <w:t>Executive summary</w:t>
      </w:r>
    </w:p>
    <w:p w14:paraId="64A0B312" w14:textId="200AFFCF" w:rsidR="005E16F8" w:rsidRDefault="005E16F8" w:rsidP="005E16F8">
      <w:pPr>
        <w:rPr>
          <w:rFonts w:ascii="Segoe UI" w:hAnsi="Segoe UI"/>
          <w:sz w:val="18"/>
          <w:szCs w:val="18"/>
        </w:rPr>
      </w:pPr>
      <w:r>
        <w:rPr>
          <w:rStyle w:val="normaltextrun"/>
          <w:rFonts w:ascii="Aptos" w:hAnsi="Aptos" w:cs="Segoe UI"/>
        </w:rPr>
        <w:t>Rail reform and the set-up of </w:t>
      </w:r>
      <w:r w:rsidR="005F757F">
        <w:t>GBR</w:t>
      </w:r>
      <w:r>
        <w:rPr>
          <w:rStyle w:val="normaltextrun"/>
          <w:rFonts w:ascii="Aptos" w:hAnsi="Aptos" w:cs="Segoe UI"/>
        </w:rPr>
        <w:t>, together with devolution, presents a crucial </w:t>
      </w:r>
      <w:r>
        <w:rPr>
          <w:rStyle w:val="normaltextrun"/>
          <w:rFonts w:ascii="Aptos" w:hAnsi="Aptos" w:cs="Segoe UI"/>
          <w:color w:val="000000"/>
        </w:rPr>
        <w:t>opportunity to unlock far greater value from the railways for and with local communities, creating a railway that is inclusive, community-orientated, and </w:t>
      </w:r>
      <w:proofErr w:type="gramStart"/>
      <w:r>
        <w:rPr>
          <w:rStyle w:val="normaltextrun"/>
          <w:rFonts w:ascii="Aptos" w:hAnsi="Aptos" w:cs="Segoe UI"/>
          <w:color w:val="000000"/>
        </w:rPr>
        <w:t>optimally-used</w:t>
      </w:r>
      <w:proofErr w:type="gramEnd"/>
      <w:r>
        <w:rPr>
          <w:rStyle w:val="normaltextrun"/>
          <w:rFonts w:ascii="Aptos" w:hAnsi="Aptos" w:cs="Segoe UI"/>
          <w:color w:val="000000"/>
        </w:rPr>
        <w:t>: a public good. This must extend beyond operational reform to creating a culture focused on maximising social, economic and environmental benefit.</w:t>
      </w:r>
    </w:p>
    <w:p w14:paraId="0402AB49" w14:textId="23EE79AD" w:rsidR="005E16F8" w:rsidRDefault="005E16F8" w:rsidP="005E16F8">
      <w:pPr>
        <w:rPr>
          <w:rFonts w:ascii="Segoe UI" w:hAnsi="Segoe UI"/>
          <w:sz w:val="18"/>
          <w:szCs w:val="18"/>
        </w:rPr>
      </w:pPr>
      <w:r>
        <w:rPr>
          <w:rStyle w:val="normaltextrun"/>
          <w:rFonts w:ascii="Aptos" w:hAnsi="Aptos" w:cs="Segoe UI"/>
          <w:color w:val="000000"/>
        </w:rPr>
        <w:t>This runs to the heart of community rail, and the community rail movement is enthusiastic about further developing its relationship with the railway to bring this to life. Community rail’s work illustrates the fundamental purpose of rail: making people’s lives, our local places, and our shared future, better. Its insights show how this purpose can be delivered on to a far greater extent. </w:t>
      </w:r>
    </w:p>
    <w:p w14:paraId="630BCC1B" w14:textId="77777777" w:rsidR="00173B2B" w:rsidRDefault="00173B2B" w:rsidP="005E16F8">
      <w:pPr>
        <w:rPr>
          <w:rStyle w:val="normaltextrun"/>
          <w:rFonts w:ascii="Aptos" w:hAnsi="Aptos" w:cs="Segoe UI"/>
        </w:rPr>
      </w:pPr>
    </w:p>
    <w:p w14:paraId="20DB26D5" w14:textId="77777777" w:rsidR="00173B2B" w:rsidRDefault="00173B2B" w:rsidP="005E16F8">
      <w:pPr>
        <w:rPr>
          <w:rStyle w:val="normaltextrun"/>
          <w:rFonts w:ascii="Aptos" w:hAnsi="Aptos" w:cs="Segoe UI"/>
        </w:rPr>
      </w:pPr>
    </w:p>
    <w:p w14:paraId="26C5D428" w14:textId="1077E0A5" w:rsidR="005E16F8" w:rsidRDefault="005E16F8" w:rsidP="005E16F8">
      <w:pPr>
        <w:rPr>
          <w:rFonts w:ascii="Segoe UI" w:hAnsi="Segoe UI"/>
          <w:sz w:val="18"/>
          <w:szCs w:val="18"/>
        </w:rPr>
      </w:pPr>
      <w:r>
        <w:rPr>
          <w:rStyle w:val="normaltextrun"/>
          <w:rFonts w:ascii="Aptos" w:hAnsi="Aptos" w:cs="Segoe UI"/>
        </w:rPr>
        <w:t xml:space="preserve">Community rail currently relies heavily on its relationships with and funding support from train operators, including clear points of contact, core funding for CRP staffing, biddable project funding, and opportunity for collaboration. This must be carried forward under rail reform, while also seizing the chance to create a more consistent, enabling, empowering approach across the new GBR </w:t>
      </w:r>
      <w:r w:rsidR="00B10FCE">
        <w:rPr>
          <w:rStyle w:val="normaltextrun"/>
          <w:rFonts w:ascii="Aptos" w:hAnsi="Aptos" w:cs="Segoe UI"/>
        </w:rPr>
        <w:t>b</w:t>
      </w:r>
      <w:r>
        <w:rPr>
          <w:rStyle w:val="normaltextrun"/>
          <w:rFonts w:ascii="Aptos" w:hAnsi="Aptos" w:cs="Segoe UI"/>
        </w:rPr>
        <w:t xml:space="preserve">usiness </w:t>
      </w:r>
      <w:r w:rsidR="00B10FCE">
        <w:rPr>
          <w:rStyle w:val="normaltextrun"/>
          <w:rFonts w:ascii="Aptos" w:hAnsi="Aptos" w:cs="Segoe UI"/>
        </w:rPr>
        <w:t>u</w:t>
      </w:r>
      <w:r>
        <w:rPr>
          <w:rStyle w:val="normaltextrun"/>
          <w:rFonts w:ascii="Aptos" w:hAnsi="Aptos" w:cs="Segoe UI"/>
        </w:rPr>
        <w:t>nits and wider rail sector. </w:t>
      </w:r>
      <w:r>
        <w:rPr>
          <w:rStyle w:val="normaltextrun"/>
          <w:rFonts w:ascii="Aptos" w:hAnsi="Aptos" w:cs="Segoe UI"/>
          <w:i/>
          <w:iCs/>
        </w:rPr>
        <w:t>This paper provides a broad summary of our recommendations: Community Rail Network and its members should be engaged in developing the details, in a ‘nothing about us without us’ approach.</w:t>
      </w:r>
    </w:p>
    <w:p w14:paraId="7C5500F5" w14:textId="2DB160F1" w:rsidR="005E16F8" w:rsidRPr="000A040B" w:rsidRDefault="005E16F8" w:rsidP="005E16F8">
      <w:pPr>
        <w:rPr>
          <w:rFonts w:ascii="Segoe UI" w:hAnsi="Segoe UI"/>
          <w:sz w:val="20"/>
          <w:szCs w:val="20"/>
        </w:rPr>
      </w:pPr>
      <w:r w:rsidRPr="000A040B">
        <w:rPr>
          <w:rStyle w:val="normaltextrun"/>
          <w:rFonts w:ascii="Aptos" w:hAnsi="Aptos" w:cs="Segoe UI"/>
          <w:b/>
          <w:bCs/>
          <w:color w:val="0070C0"/>
          <w:sz w:val="24"/>
          <w:szCs w:val="24"/>
        </w:rPr>
        <w:t>Core recommendations for rail reform and GBR</w:t>
      </w:r>
    </w:p>
    <w:p w14:paraId="6412ADFD" w14:textId="08E0CB68" w:rsidR="005E16F8" w:rsidRDefault="005E16F8" w:rsidP="005E16F8">
      <w:pPr>
        <w:rPr>
          <w:rFonts w:ascii="Segoe UI" w:hAnsi="Segoe UI"/>
          <w:sz w:val="18"/>
          <w:szCs w:val="18"/>
        </w:rPr>
      </w:pPr>
      <w:r>
        <w:rPr>
          <w:rStyle w:val="normaltextrun"/>
          <w:rFonts w:ascii="Aptos" w:hAnsi="Aptos" w:cs="Segoe UI"/>
          <w:b/>
          <w:bCs/>
          <w:color w:val="4EA72E"/>
        </w:rPr>
        <w:t>1. Strong strategic recognition for community rail and its role</w:t>
      </w:r>
    </w:p>
    <w:p w14:paraId="3BA9ADD5" w14:textId="4522BCF6" w:rsidR="005E16F8" w:rsidRPr="00173B2B" w:rsidRDefault="005E16F8" w:rsidP="00173B2B">
      <w:pPr>
        <w:pStyle w:val="ListParagraph"/>
        <w:numPr>
          <w:ilvl w:val="0"/>
          <w:numId w:val="17"/>
        </w:numPr>
        <w:rPr>
          <w:rStyle w:val="normaltextrun"/>
        </w:rPr>
      </w:pPr>
      <w:r w:rsidRPr="00173B2B">
        <w:rPr>
          <w:rStyle w:val="normaltextrun"/>
          <w:rFonts w:ascii="Aptos" w:hAnsi="Aptos" w:cs="Segoe UI"/>
        </w:rPr>
        <w:t>The DfT’s </w:t>
      </w:r>
      <w:hyperlink r:id="rId14" w:tgtFrame="_blank" w:history="1">
        <w:r w:rsidRPr="00173B2B">
          <w:rPr>
            <w:rStyle w:val="normaltextrun"/>
            <w:rFonts w:ascii="Aptos" w:hAnsi="Aptos" w:cs="Segoe UI"/>
            <w:color w:val="467886"/>
            <w:u w:val="single"/>
          </w:rPr>
          <w:t>Community Rail Development Strategy</w:t>
        </w:r>
      </w:hyperlink>
      <w:r w:rsidRPr="00173B2B">
        <w:rPr>
          <w:rStyle w:val="normaltextrun"/>
          <w:rFonts w:ascii="Aptos" w:hAnsi="Aptos" w:cs="Segoe UI"/>
        </w:rPr>
        <w:t> (CRDS) should be taken forward. This strategy is well-embedded in community rail, providing a guiding light across CRP planning and delivery, and a framework for Community Rail Network’s work as the lead delivery partner. It will need reviewing </w:t>
      </w:r>
      <w:proofErr w:type="gramStart"/>
      <w:r w:rsidRPr="00173B2B">
        <w:rPr>
          <w:rStyle w:val="normaltextrun"/>
          <w:rFonts w:ascii="Aptos" w:hAnsi="Aptos" w:cs="Segoe UI"/>
        </w:rPr>
        <w:t>in light of</w:t>
      </w:r>
      <w:proofErr w:type="gramEnd"/>
      <w:r w:rsidRPr="00173B2B">
        <w:rPr>
          <w:rStyle w:val="normaltextrun"/>
          <w:rFonts w:ascii="Aptos" w:hAnsi="Aptos" w:cs="Segoe UI"/>
        </w:rPr>
        <w:t xml:space="preserve"> GBR and the opportunities </w:t>
      </w:r>
      <w:r w:rsidR="00173B2B">
        <w:rPr>
          <w:rStyle w:val="normaltextrun"/>
          <w:rFonts w:ascii="Aptos" w:hAnsi="Aptos" w:cs="Segoe UI"/>
        </w:rPr>
        <w:t xml:space="preserve">it </w:t>
      </w:r>
      <w:proofErr w:type="gramStart"/>
      <w:r w:rsidR="00173B2B">
        <w:rPr>
          <w:rStyle w:val="normaltextrun"/>
          <w:rFonts w:ascii="Aptos" w:hAnsi="Aptos" w:cs="Segoe UI"/>
        </w:rPr>
        <w:t>presents</w:t>
      </w:r>
      <w:r w:rsidRPr="00173B2B">
        <w:rPr>
          <w:rStyle w:val="normaltextrun"/>
          <w:rFonts w:ascii="Aptos" w:hAnsi="Aptos" w:cs="Segoe UI"/>
        </w:rPr>
        <w:t>:</w:t>
      </w:r>
      <w:proofErr w:type="gramEnd"/>
      <w:r w:rsidRPr="00173B2B">
        <w:rPr>
          <w:rStyle w:val="normaltextrun"/>
          <w:rFonts w:ascii="Aptos" w:hAnsi="Aptos" w:cs="Segoe UI"/>
        </w:rPr>
        <w:t> this must be done collaboratively with Community Rail Network and the community rail movement;</w:t>
      </w:r>
    </w:p>
    <w:p w14:paraId="699C58DE" w14:textId="77777777" w:rsidR="00173B2B" w:rsidRPr="00173B2B" w:rsidRDefault="00173B2B" w:rsidP="00173B2B">
      <w:pPr>
        <w:pStyle w:val="ListParagraph"/>
        <w:rPr>
          <w:rStyle w:val="eop"/>
        </w:rPr>
      </w:pPr>
    </w:p>
    <w:p w14:paraId="50B0AEB2" w14:textId="3EE35EB4" w:rsidR="005E16F8" w:rsidRPr="00173B2B" w:rsidRDefault="005E16F8" w:rsidP="005E16F8">
      <w:pPr>
        <w:pStyle w:val="ListParagraph"/>
        <w:numPr>
          <w:ilvl w:val="0"/>
          <w:numId w:val="17"/>
        </w:numPr>
        <w:rPr>
          <w:rStyle w:val="normaltextrun"/>
        </w:rPr>
      </w:pPr>
      <w:r w:rsidRPr="00173B2B">
        <w:rPr>
          <w:rStyle w:val="normaltextrun"/>
          <w:rFonts w:ascii="Aptos" w:hAnsi="Aptos" w:cs="Segoe UI"/>
        </w:rPr>
        <w:t xml:space="preserve">The CRDS is currently adopted in England and Wales: we strongly recommend that it (or </w:t>
      </w:r>
      <w:r w:rsidR="00173B2B">
        <w:rPr>
          <w:rStyle w:val="normaltextrun"/>
          <w:rFonts w:ascii="Aptos" w:hAnsi="Aptos" w:cs="Segoe UI"/>
        </w:rPr>
        <w:t xml:space="preserve">an </w:t>
      </w:r>
      <w:r w:rsidRPr="00173B2B">
        <w:rPr>
          <w:rStyle w:val="normaltextrun"/>
          <w:rFonts w:ascii="Aptos" w:hAnsi="Aptos" w:cs="Segoe UI"/>
        </w:rPr>
        <w:t xml:space="preserve">equivalent) is implemented in Scotland, to support community </w:t>
      </w:r>
      <w:r w:rsidR="00173B2B">
        <w:rPr>
          <w:rStyle w:val="normaltextrun"/>
          <w:rFonts w:ascii="Aptos" w:hAnsi="Aptos" w:cs="Segoe UI"/>
        </w:rPr>
        <w:t xml:space="preserve">rail development across </w:t>
      </w:r>
      <w:r w:rsidRPr="00173B2B">
        <w:rPr>
          <w:rStyle w:val="normaltextrun"/>
          <w:rFonts w:ascii="Aptos" w:hAnsi="Aptos" w:cs="Segoe UI"/>
        </w:rPr>
        <w:t>the devolved nations;</w:t>
      </w:r>
    </w:p>
    <w:p w14:paraId="39947EB6" w14:textId="77777777" w:rsidR="00173B2B" w:rsidRPr="00173B2B" w:rsidRDefault="00173B2B" w:rsidP="00173B2B">
      <w:pPr>
        <w:pStyle w:val="ListParagraph"/>
        <w:rPr>
          <w:rStyle w:val="eop"/>
        </w:rPr>
      </w:pPr>
    </w:p>
    <w:p w14:paraId="73213772" w14:textId="2D4C9565" w:rsidR="005E16F8" w:rsidRPr="00173B2B" w:rsidRDefault="005E16F8" w:rsidP="005E16F8">
      <w:pPr>
        <w:pStyle w:val="ListParagraph"/>
        <w:numPr>
          <w:ilvl w:val="0"/>
          <w:numId w:val="17"/>
        </w:numPr>
        <w:rPr>
          <w:rStyle w:val="normaltextrun"/>
        </w:rPr>
      </w:pPr>
      <w:r w:rsidRPr="00173B2B">
        <w:rPr>
          <w:rStyle w:val="normaltextrun"/>
          <w:rFonts w:ascii="Aptos" w:hAnsi="Aptos" w:cs="Segoe UI"/>
        </w:rPr>
        <w:t xml:space="preserve">High-level, positive support and recognition for community rail should built into the Long-Term Rail Strategy, as part of a wider commitment to creating </w:t>
      </w:r>
      <w:r w:rsidR="00173B2B">
        <w:rPr>
          <w:rStyle w:val="normaltextrun"/>
          <w:rFonts w:ascii="Aptos" w:hAnsi="Aptos" w:cs="Segoe UI"/>
        </w:rPr>
        <w:t xml:space="preserve">a railway that is </w:t>
      </w:r>
      <w:r w:rsidRPr="00173B2B">
        <w:rPr>
          <w:rStyle w:val="normaltextrun"/>
          <w:rFonts w:ascii="Aptos" w:hAnsi="Aptos" w:cs="Segoe UI"/>
        </w:rPr>
        <w:t xml:space="preserve">community-orientated and responsive to local needs. This should make </w:t>
      </w:r>
      <w:r w:rsidR="00173B2B">
        <w:rPr>
          <w:rStyle w:val="normaltextrun"/>
          <w:rFonts w:ascii="Aptos" w:hAnsi="Aptos" w:cs="Segoe UI"/>
        </w:rPr>
        <w:t xml:space="preserve">clear community </w:t>
      </w:r>
      <w:r w:rsidRPr="00173B2B">
        <w:rPr>
          <w:rStyle w:val="normaltextrun"/>
          <w:rFonts w:ascii="Aptos" w:hAnsi="Aptos" w:cs="Segoe UI"/>
        </w:rPr>
        <w:t>rail’s independence as a grassroots movement and its contribution to rail’s strategic objectives, referring to the CRDS for greater detail, and ensuring that significant changes to community rail policy are developed with suitable engagement;</w:t>
      </w:r>
    </w:p>
    <w:p w14:paraId="75C9A9D8" w14:textId="77777777" w:rsidR="00173B2B" w:rsidRPr="00173B2B" w:rsidRDefault="00173B2B" w:rsidP="00173B2B">
      <w:pPr>
        <w:pStyle w:val="ListParagraph"/>
        <w:rPr>
          <w:rStyle w:val="eop"/>
        </w:rPr>
      </w:pPr>
    </w:p>
    <w:p w14:paraId="6046CA7D" w14:textId="5967EEC0" w:rsidR="005E16F8" w:rsidRPr="00173B2B" w:rsidRDefault="005E16F8" w:rsidP="005E16F8">
      <w:pPr>
        <w:pStyle w:val="ListParagraph"/>
        <w:numPr>
          <w:ilvl w:val="0"/>
          <w:numId w:val="17"/>
        </w:numPr>
      </w:pPr>
      <w:r w:rsidRPr="00173B2B">
        <w:rPr>
          <w:rStyle w:val="normaltextrun"/>
          <w:rFonts w:ascii="Aptos" w:hAnsi="Aptos" w:cs="Segoe UI"/>
        </w:rPr>
        <w:t>The role of Community Rail Network as the representative body for the community rail movement should be maintained through these strategies. </w:t>
      </w:r>
      <w:r w:rsidRPr="00173B2B">
        <w:rPr>
          <w:rStyle w:val="scxw102933699"/>
          <w:rFonts w:ascii="Aptos" w:hAnsi="Aptos" w:cs="Segoe UI"/>
        </w:rPr>
        <w:t> </w:t>
      </w:r>
      <w:r>
        <w:br/>
      </w:r>
    </w:p>
    <w:p w14:paraId="16D302DE" w14:textId="033F1751" w:rsidR="005E16F8" w:rsidRDefault="005E16F8" w:rsidP="005E16F8">
      <w:pPr>
        <w:rPr>
          <w:rFonts w:ascii="Segoe UI" w:hAnsi="Segoe UI"/>
          <w:sz w:val="18"/>
          <w:szCs w:val="18"/>
        </w:rPr>
      </w:pPr>
      <w:r>
        <w:rPr>
          <w:rStyle w:val="normaltextrun"/>
          <w:rFonts w:ascii="Aptos" w:hAnsi="Aptos" w:cs="Segoe UI"/>
          <w:b/>
          <w:bCs/>
          <w:color w:val="4EA72E"/>
        </w:rPr>
        <w:t>2. Empowering, enabling and consistent funding:</w:t>
      </w:r>
    </w:p>
    <w:p w14:paraId="3821AFE1" w14:textId="6E0BFFDB" w:rsidR="005E16F8" w:rsidRPr="00173B2B" w:rsidRDefault="005E16F8" w:rsidP="00173B2B">
      <w:pPr>
        <w:pStyle w:val="ListParagraph"/>
        <w:numPr>
          <w:ilvl w:val="0"/>
          <w:numId w:val="18"/>
        </w:numPr>
        <w:rPr>
          <w:rStyle w:val="normaltextrun"/>
        </w:rPr>
      </w:pPr>
      <w:r w:rsidRPr="00173B2B">
        <w:rPr>
          <w:rStyle w:val="normaltextrun"/>
          <w:rFonts w:ascii="Aptos" w:hAnsi="Aptos" w:cs="Segoe UI"/>
        </w:rPr>
        <w:t>The community rail movement should benefit from a secure, enabling and consistent funding approach from the rail industry, ensuring it can continue to develop and thrive. Funding levels need to be appropriate and proportionate, set in consultation with the movement, aligned with existing community rail structures and coverage, while supporting further growth;</w:t>
      </w:r>
    </w:p>
    <w:p w14:paraId="28D9D064" w14:textId="77777777" w:rsidR="00173B2B" w:rsidRPr="00173B2B" w:rsidRDefault="00173B2B" w:rsidP="00173B2B">
      <w:pPr>
        <w:pStyle w:val="ListParagraph"/>
        <w:rPr>
          <w:rStyle w:val="eop"/>
        </w:rPr>
      </w:pPr>
    </w:p>
    <w:p w14:paraId="626A9F47" w14:textId="6D9782AA" w:rsidR="005E16F8" w:rsidRPr="00173B2B" w:rsidRDefault="00173B2B" w:rsidP="005E16F8">
      <w:pPr>
        <w:pStyle w:val="ListParagraph"/>
        <w:numPr>
          <w:ilvl w:val="0"/>
          <w:numId w:val="18"/>
        </w:numPr>
        <w:rPr>
          <w:rStyle w:val="normaltextrun"/>
        </w:rPr>
      </w:pPr>
      <w:r>
        <w:t xml:space="preserve">CRPs </w:t>
      </w:r>
      <w:r w:rsidR="005E16F8" w:rsidRPr="00173B2B">
        <w:rPr>
          <w:rStyle w:val="normaltextrun"/>
          <w:rFonts w:ascii="Aptos" w:hAnsi="Aptos" w:cs="Segoe UI"/>
        </w:rPr>
        <w:t>need access to reliable core funding to support their staffing (on which the CRP model depends), and to allow for long-term planning and development. Core funding should be provided via multi-year settlements, aligned with the five-year GBR financial planning periods, with clear funding agreements and suitable annual review and reporting built-in;</w:t>
      </w:r>
    </w:p>
    <w:p w14:paraId="7EA15C32" w14:textId="77777777" w:rsidR="00173B2B" w:rsidRDefault="00173B2B" w:rsidP="00173B2B">
      <w:pPr>
        <w:pStyle w:val="ListParagraph"/>
        <w:rPr>
          <w:rStyle w:val="eop"/>
        </w:rPr>
      </w:pPr>
    </w:p>
    <w:p w14:paraId="2E0EC7A0" w14:textId="77777777" w:rsidR="00173B2B" w:rsidRPr="00173B2B" w:rsidRDefault="00173B2B" w:rsidP="00173B2B">
      <w:pPr>
        <w:pStyle w:val="ListParagraph"/>
        <w:rPr>
          <w:rStyle w:val="eop"/>
        </w:rPr>
      </w:pPr>
    </w:p>
    <w:p w14:paraId="0FAB3DA0" w14:textId="1D50BE70" w:rsidR="005E16F8" w:rsidRPr="00173B2B" w:rsidRDefault="005E16F8" w:rsidP="005E16F8">
      <w:pPr>
        <w:pStyle w:val="ListParagraph"/>
        <w:numPr>
          <w:ilvl w:val="0"/>
          <w:numId w:val="18"/>
        </w:numPr>
        <w:rPr>
          <w:rStyle w:val="normaltextrun"/>
        </w:rPr>
      </w:pPr>
      <w:r w:rsidRPr="00173B2B">
        <w:rPr>
          <w:rStyle w:val="normaltextrun"/>
          <w:rFonts w:ascii="Aptos" w:hAnsi="Aptos" w:cs="Segoe UI"/>
        </w:rPr>
        <w:t>C</w:t>
      </w:r>
      <w:r w:rsidR="00173B2B">
        <w:rPr>
          <w:rStyle w:val="normaltextrun"/>
          <w:rFonts w:ascii="Aptos" w:hAnsi="Aptos" w:cs="Segoe UI"/>
        </w:rPr>
        <w:t>RPs</w:t>
      </w:r>
      <w:r w:rsidRPr="00173B2B">
        <w:rPr>
          <w:rStyle w:val="normaltextrun"/>
          <w:rFonts w:ascii="Aptos" w:hAnsi="Aptos" w:cs="Segoe UI"/>
        </w:rPr>
        <w:t xml:space="preserve"> and station groups should have access to biddable project funding to support delivery of activity, including continuation and extension of evidenced projects over longer periods, as well as testing new innovations and approaches (and which can often be combined with funding from non-rail sources);</w:t>
      </w:r>
    </w:p>
    <w:p w14:paraId="4BFC0BF8" w14:textId="77777777" w:rsidR="00173B2B" w:rsidRPr="00173B2B" w:rsidRDefault="00173B2B" w:rsidP="00173B2B">
      <w:pPr>
        <w:pStyle w:val="ListParagraph"/>
        <w:rPr>
          <w:rStyle w:val="eop"/>
        </w:rPr>
      </w:pPr>
    </w:p>
    <w:p w14:paraId="295538F1" w14:textId="230E899D" w:rsidR="005E16F8" w:rsidRPr="00173B2B" w:rsidRDefault="005E16F8" w:rsidP="005E16F8">
      <w:pPr>
        <w:pStyle w:val="ListParagraph"/>
        <w:numPr>
          <w:ilvl w:val="0"/>
          <w:numId w:val="18"/>
        </w:numPr>
        <w:rPr>
          <w:rStyle w:val="normaltextrun"/>
        </w:rPr>
      </w:pPr>
      <w:r w:rsidRPr="00173B2B">
        <w:rPr>
          <w:rStyle w:val="normaltextrun"/>
          <w:rFonts w:ascii="Aptos" w:hAnsi="Aptos" w:cs="Segoe UI"/>
        </w:rPr>
        <w:t>Processes for applying for, receiving and reporting on funding, including core and project funding agreements, should be designed with Community Rail Network to maximise the social, economic and environmental value of community rail initiatives, and support the further success and growth of the movement, aligned with the CRDS and links to wider public policy goals;</w:t>
      </w:r>
    </w:p>
    <w:p w14:paraId="4C464B00" w14:textId="77777777" w:rsidR="00173B2B" w:rsidRPr="00173B2B" w:rsidRDefault="00173B2B" w:rsidP="00173B2B">
      <w:pPr>
        <w:pStyle w:val="ListParagraph"/>
        <w:rPr>
          <w:rStyle w:val="eop"/>
        </w:rPr>
      </w:pPr>
    </w:p>
    <w:p w14:paraId="786E9802" w14:textId="50DE8581" w:rsidR="00173B2B" w:rsidRPr="00173B2B" w:rsidRDefault="005E16F8" w:rsidP="00173B2B">
      <w:pPr>
        <w:pStyle w:val="ListParagraph"/>
        <w:numPr>
          <w:ilvl w:val="0"/>
          <w:numId w:val="18"/>
        </w:numPr>
        <w:rPr>
          <w:rStyle w:val="normaltextrun"/>
        </w:rPr>
      </w:pPr>
      <w:r w:rsidRPr="00173B2B">
        <w:rPr>
          <w:rStyle w:val="normaltextrun"/>
          <w:rFonts w:ascii="Aptos" w:hAnsi="Aptos" w:cs="Segoe UI"/>
        </w:rPr>
        <w:t xml:space="preserve">We propose Community Rail Network should continue to benefit from a DfT grant (combined with Transport for Wales support and the equivalent in Scotland), alongside a modest contribution from each GBR </w:t>
      </w:r>
      <w:r w:rsidR="00B10FCE">
        <w:rPr>
          <w:rStyle w:val="normaltextrun"/>
          <w:rFonts w:ascii="Aptos" w:hAnsi="Aptos" w:cs="Segoe UI"/>
        </w:rPr>
        <w:t>b</w:t>
      </w:r>
      <w:r w:rsidRPr="00173B2B">
        <w:rPr>
          <w:rStyle w:val="normaltextrun"/>
          <w:rFonts w:ascii="Aptos" w:hAnsi="Aptos" w:cs="Segoe UI"/>
        </w:rPr>
        <w:t xml:space="preserve">usiness </w:t>
      </w:r>
      <w:r w:rsidR="00B10FCE">
        <w:rPr>
          <w:rStyle w:val="normaltextrun"/>
          <w:rFonts w:ascii="Aptos" w:hAnsi="Aptos" w:cs="Segoe UI"/>
        </w:rPr>
        <w:t>u</w:t>
      </w:r>
      <w:r w:rsidRPr="00173B2B">
        <w:rPr>
          <w:rStyle w:val="normaltextrun"/>
          <w:rFonts w:ascii="Aptos" w:hAnsi="Aptos" w:cs="Segoe UI"/>
        </w:rPr>
        <w:t>nit replacing our current train operator funding. This will enable our vital, well-evidenced work increasing community rail’s spread and impact to be delivered effectively and consistently across Britain. We would continue to supplement this through our growing corporate partnership and sponsorship scheme and grants.</w:t>
      </w:r>
    </w:p>
    <w:p w14:paraId="638613DE" w14:textId="77777777" w:rsidR="00173B2B" w:rsidRPr="00173B2B" w:rsidRDefault="00173B2B" w:rsidP="00173B2B">
      <w:pPr>
        <w:pStyle w:val="ListParagraph"/>
      </w:pPr>
    </w:p>
    <w:p w14:paraId="3F081831" w14:textId="2FBB38E8" w:rsidR="005E16F8" w:rsidRDefault="005E16F8" w:rsidP="005E16F8">
      <w:pPr>
        <w:rPr>
          <w:rFonts w:ascii="Segoe UI" w:hAnsi="Segoe UI"/>
          <w:sz w:val="18"/>
          <w:szCs w:val="18"/>
        </w:rPr>
      </w:pPr>
      <w:r>
        <w:rPr>
          <w:rStyle w:val="normaltextrun"/>
          <w:rFonts w:ascii="Aptos" w:hAnsi="Aptos" w:cs="Segoe UI"/>
          <w:b/>
          <w:bCs/>
          <w:color w:val="4EA72E"/>
        </w:rPr>
        <w:t>3. Clear contacts and responsibilities, empowering relationships, and routes to feed in insights: </w:t>
      </w:r>
    </w:p>
    <w:p w14:paraId="3494F8B4" w14:textId="1DF151E6" w:rsidR="005E16F8" w:rsidRPr="00B10FCE" w:rsidRDefault="005E16F8" w:rsidP="00B10FCE">
      <w:pPr>
        <w:pStyle w:val="ListParagraph"/>
        <w:numPr>
          <w:ilvl w:val="0"/>
          <w:numId w:val="19"/>
        </w:numPr>
        <w:rPr>
          <w:rStyle w:val="normaltextrun"/>
        </w:rPr>
      </w:pPr>
      <w:r w:rsidRPr="00B10FCE">
        <w:rPr>
          <w:rStyle w:val="normaltextrun"/>
          <w:rFonts w:ascii="Aptos" w:hAnsi="Aptos" w:cs="Segoe UI"/>
        </w:rPr>
        <w:t xml:space="preserve">Each GBR local business unit must have a clear and defined point of contact for </w:t>
      </w:r>
      <w:r w:rsidR="00B10FCE">
        <w:rPr>
          <w:rStyle w:val="normaltextrun"/>
          <w:rFonts w:ascii="Aptos" w:hAnsi="Aptos" w:cs="Segoe UI"/>
        </w:rPr>
        <w:t>CRPs</w:t>
      </w:r>
      <w:r w:rsidRPr="00B10FCE">
        <w:rPr>
          <w:rStyle w:val="normaltextrun"/>
          <w:rFonts w:ascii="Aptos" w:hAnsi="Aptos" w:cs="Segoe UI"/>
        </w:rPr>
        <w:t>, station groups and Community Rail Network, to encourage and enable meaningful interaction between the movement and the rail industry. This position/team needs to be embedded within the structure of the business units, be visible and accountable, and allow for two-way communications, with insights from community rail able to be cascaded up to more senior levels and different areas of decision-making;</w:t>
      </w:r>
    </w:p>
    <w:p w14:paraId="04247084" w14:textId="77777777" w:rsidR="00B10FCE" w:rsidRPr="00B10FCE" w:rsidRDefault="00B10FCE" w:rsidP="00B10FCE">
      <w:pPr>
        <w:pStyle w:val="ListParagraph"/>
        <w:rPr>
          <w:rStyle w:val="eop"/>
        </w:rPr>
      </w:pPr>
    </w:p>
    <w:p w14:paraId="2B628BCE" w14:textId="77777777" w:rsidR="00B10FCE" w:rsidRPr="00B10FCE" w:rsidRDefault="005E16F8" w:rsidP="005E16F8">
      <w:pPr>
        <w:pStyle w:val="ListParagraph"/>
        <w:numPr>
          <w:ilvl w:val="0"/>
          <w:numId w:val="19"/>
        </w:numPr>
        <w:rPr>
          <w:rStyle w:val="normaltextrun"/>
        </w:rPr>
      </w:pPr>
      <w:r w:rsidRPr="00B10FCE">
        <w:rPr>
          <w:rStyle w:val="normaltextrun"/>
          <w:rFonts w:ascii="Aptos" w:hAnsi="Aptos" w:cs="Segoe UI"/>
        </w:rPr>
        <w:t xml:space="preserve">The community rail roles/teams within GBR business units need to be suitably resourced and empowered to build on existing good practice and relationships between </w:t>
      </w:r>
      <w:r w:rsidR="00B10FCE">
        <w:rPr>
          <w:rStyle w:val="normaltextrun"/>
          <w:rFonts w:ascii="Aptos" w:hAnsi="Aptos" w:cs="Segoe UI"/>
        </w:rPr>
        <w:t>CRPs</w:t>
      </w:r>
      <w:r w:rsidRPr="00B10FCE">
        <w:rPr>
          <w:rStyle w:val="normaltextrun"/>
          <w:rFonts w:ascii="Aptos" w:hAnsi="Aptos" w:cs="Segoe UI"/>
        </w:rPr>
        <w:t xml:space="preserve"> and groups and railway partners, especially train </w:t>
      </w:r>
      <w:r w:rsidR="00B10FCE">
        <w:rPr>
          <w:rStyle w:val="normaltextrun"/>
          <w:rFonts w:ascii="Aptos" w:hAnsi="Aptos" w:cs="Segoe UI"/>
        </w:rPr>
        <w:t xml:space="preserve">operators. </w:t>
      </w:r>
      <w:r w:rsidRPr="00B10FCE">
        <w:rPr>
          <w:rStyle w:val="normaltextrun"/>
          <w:rFonts w:ascii="Aptos" w:hAnsi="Aptos" w:cs="Segoe UI"/>
        </w:rPr>
        <w:t xml:space="preserve">This must allow for business units to respond appropriately to local </w:t>
      </w:r>
      <w:r w:rsidR="00B10FCE">
        <w:rPr>
          <w:rStyle w:val="normaltextrun"/>
          <w:rFonts w:ascii="Aptos" w:hAnsi="Aptos" w:cs="Segoe UI"/>
        </w:rPr>
        <w:t>CRPs</w:t>
      </w:r>
      <w:r w:rsidRPr="00B10FCE">
        <w:rPr>
          <w:rStyle w:val="normaltextrun"/>
          <w:rFonts w:ascii="Aptos" w:hAnsi="Aptos" w:cs="Segoe UI"/>
        </w:rPr>
        <w:t xml:space="preserve"> and groups and wider community partners, make decisions and give permissions in a timely manner, foster collaborative working relationships, and allow community rail to feed in insights to shape local rail development</w:t>
      </w:r>
      <w:r w:rsidR="00B10FCE">
        <w:rPr>
          <w:rStyle w:val="normaltextrun"/>
          <w:rFonts w:ascii="Aptos" w:hAnsi="Aptos" w:cs="Segoe UI"/>
        </w:rPr>
        <w:t>;</w:t>
      </w:r>
    </w:p>
    <w:p w14:paraId="7D623900" w14:textId="77777777" w:rsidR="00B10FCE" w:rsidRPr="00B10FCE" w:rsidRDefault="00B10FCE" w:rsidP="00B10FCE">
      <w:pPr>
        <w:pStyle w:val="ListParagraph"/>
        <w:rPr>
          <w:rStyle w:val="normaltextrun"/>
        </w:rPr>
      </w:pPr>
    </w:p>
    <w:p w14:paraId="0CB4E490" w14:textId="2028EB3E" w:rsidR="005E16F8" w:rsidRPr="00B10FCE" w:rsidRDefault="005E16F8" w:rsidP="005E16F8">
      <w:pPr>
        <w:pStyle w:val="ListParagraph"/>
        <w:numPr>
          <w:ilvl w:val="0"/>
          <w:numId w:val="19"/>
        </w:numPr>
        <w:rPr>
          <w:rStyle w:val="eop"/>
        </w:rPr>
      </w:pPr>
      <w:r w:rsidRPr="00B10FCE">
        <w:rPr>
          <w:rStyle w:val="normaltextrun"/>
          <w:rFonts w:ascii="Aptos" w:hAnsi="Aptos" w:cs="Segoe UI"/>
        </w:rPr>
        <w:t>Specific support, help and permissions that are essential to community rail activity should continue to be readily available and provided through clear, accessible and straightforward processes</w:t>
      </w:r>
      <w:r w:rsidR="00B10FCE">
        <w:rPr>
          <w:rStyle w:val="normaltextrun"/>
          <w:rFonts w:ascii="Aptos" w:hAnsi="Aptos" w:cs="Segoe UI"/>
        </w:rPr>
        <w:t xml:space="preserve">. This could include, </w:t>
      </w:r>
      <w:r w:rsidRPr="00B10FCE">
        <w:rPr>
          <w:rStyle w:val="normaltextrun"/>
          <w:rFonts w:ascii="Aptos" w:hAnsi="Aptos" w:cs="Segoe UI"/>
        </w:rPr>
        <w:t>for example</w:t>
      </w:r>
      <w:r w:rsidR="00B10FCE">
        <w:rPr>
          <w:rStyle w:val="normaltextrun"/>
          <w:rFonts w:ascii="Aptos" w:hAnsi="Aptos" w:cs="Segoe UI"/>
        </w:rPr>
        <w:t>,</w:t>
      </w:r>
      <w:r w:rsidRPr="00B10FCE">
        <w:rPr>
          <w:rStyle w:val="normaltextrun"/>
          <w:rFonts w:ascii="Aptos" w:hAnsi="Aptos" w:cs="Segoe UI"/>
        </w:rPr>
        <w:t xml:space="preserve"> providing free group travel passes for rail confidence trips, and giving permissions and providing safety briefings for station adoption activity. </w:t>
      </w:r>
    </w:p>
    <w:p w14:paraId="026E82E1" w14:textId="77777777" w:rsidR="00B10FCE" w:rsidRDefault="00B10FCE" w:rsidP="00B10FCE">
      <w:pPr>
        <w:pStyle w:val="ListParagraph"/>
      </w:pPr>
    </w:p>
    <w:p w14:paraId="5CD9B1E9" w14:textId="77777777" w:rsidR="00B10FCE" w:rsidRDefault="005E16F8" w:rsidP="005E16F8">
      <w:pPr>
        <w:rPr>
          <w:rStyle w:val="normaltextrun"/>
          <w:rFonts w:ascii="Aptos" w:hAnsi="Aptos" w:cs="Segoe UI"/>
          <w:b/>
          <w:bCs/>
          <w:color w:val="0070C0"/>
        </w:rPr>
      </w:pPr>
      <w:r>
        <w:rPr>
          <w:rStyle w:val="scxw102933699"/>
          <w:rFonts w:ascii="Aptos" w:hAnsi="Aptos" w:cs="Segoe UI"/>
        </w:rPr>
        <w:t> </w:t>
      </w:r>
      <w:r>
        <w:br/>
      </w:r>
    </w:p>
    <w:p w14:paraId="42219D16" w14:textId="77777777" w:rsidR="00B10FCE" w:rsidRDefault="00B10FCE" w:rsidP="005E16F8">
      <w:pPr>
        <w:rPr>
          <w:rStyle w:val="normaltextrun"/>
          <w:rFonts w:ascii="Aptos" w:hAnsi="Aptos" w:cs="Segoe UI"/>
          <w:b/>
          <w:bCs/>
          <w:color w:val="0070C0"/>
        </w:rPr>
      </w:pPr>
    </w:p>
    <w:p w14:paraId="12B122C2" w14:textId="1E94361A" w:rsidR="005E16F8" w:rsidRPr="000A040B" w:rsidRDefault="005E16F8" w:rsidP="005E16F8">
      <w:pPr>
        <w:rPr>
          <w:rFonts w:ascii="Segoe UI" w:hAnsi="Segoe UI"/>
          <w:sz w:val="20"/>
          <w:szCs w:val="20"/>
        </w:rPr>
      </w:pPr>
      <w:r w:rsidRPr="000A040B">
        <w:rPr>
          <w:rStyle w:val="normaltextrun"/>
          <w:rFonts w:ascii="Aptos" w:hAnsi="Aptos" w:cs="Segoe UI"/>
          <w:b/>
          <w:bCs/>
          <w:color w:val="0070C0"/>
          <w:sz w:val="24"/>
          <w:szCs w:val="24"/>
        </w:rPr>
        <w:t>Our offer</w:t>
      </w:r>
    </w:p>
    <w:p w14:paraId="308F3A07" w14:textId="36EC4682" w:rsidR="005E16F8" w:rsidRDefault="005E16F8" w:rsidP="005E16F8">
      <w:pPr>
        <w:rPr>
          <w:rFonts w:ascii="Segoe UI" w:hAnsi="Segoe UI"/>
          <w:sz w:val="18"/>
          <w:szCs w:val="18"/>
        </w:rPr>
      </w:pPr>
      <w:r>
        <w:rPr>
          <w:rStyle w:val="normaltextrun"/>
          <w:rFonts w:ascii="Aptos" w:hAnsi="Aptos" w:cs="Segoe UI"/>
        </w:rPr>
        <w:t>Community Rail Network is ready to work with government, train operators, DFTO, the future GBR as it’s set up, as well as mayors, local authorities and other decision-makers, to maximise the social, economic and environmental value of railways and stations.</w:t>
      </w:r>
    </w:p>
    <w:p w14:paraId="01B1F850" w14:textId="2159B282" w:rsidR="005E16F8" w:rsidRDefault="005E16F8" w:rsidP="005E16F8">
      <w:pPr>
        <w:rPr>
          <w:rFonts w:ascii="Segoe UI" w:hAnsi="Segoe UI"/>
          <w:sz w:val="18"/>
          <w:szCs w:val="18"/>
        </w:rPr>
      </w:pPr>
      <w:r>
        <w:rPr>
          <w:rStyle w:val="normaltextrun"/>
          <w:rFonts w:ascii="Aptos" w:hAnsi="Aptos" w:cs="Segoe UI"/>
        </w:rPr>
        <w:t>We can:</w:t>
      </w:r>
    </w:p>
    <w:p w14:paraId="238FB968" w14:textId="1C88B44E" w:rsidR="005E16F8" w:rsidRPr="00B10FCE" w:rsidRDefault="005E16F8" w:rsidP="00B10FCE">
      <w:pPr>
        <w:pStyle w:val="ListParagraph"/>
        <w:numPr>
          <w:ilvl w:val="0"/>
          <w:numId w:val="20"/>
        </w:numPr>
        <w:rPr>
          <w:rStyle w:val="eop"/>
        </w:rPr>
      </w:pPr>
      <w:r w:rsidRPr="00B10FCE">
        <w:rPr>
          <w:rStyle w:val="normaltextrun"/>
          <w:rFonts w:ascii="Aptos" w:hAnsi="Aptos" w:cs="Segoe UI"/>
        </w:rPr>
        <w:t>Offer strategic insights and advice through the process of rail reform, and on an ongoing basis;</w:t>
      </w:r>
    </w:p>
    <w:p w14:paraId="5BC881EE" w14:textId="78EB3D30" w:rsidR="005E16F8" w:rsidRPr="00B10FCE" w:rsidRDefault="005E16F8" w:rsidP="005E16F8">
      <w:pPr>
        <w:pStyle w:val="ListParagraph"/>
        <w:numPr>
          <w:ilvl w:val="0"/>
          <w:numId w:val="20"/>
        </w:numPr>
        <w:rPr>
          <w:rStyle w:val="eop"/>
        </w:rPr>
      </w:pPr>
      <w:r w:rsidRPr="00B10FCE">
        <w:rPr>
          <w:rStyle w:val="normaltextrun"/>
          <w:rFonts w:ascii="Aptos" w:hAnsi="Aptos" w:cs="Segoe UI"/>
        </w:rPr>
        <w:t>Provide more detailed evidence and practical examples of community rail projects and initiatives, their successes and challenges;</w:t>
      </w:r>
    </w:p>
    <w:p w14:paraId="362D6C51" w14:textId="76BCF545" w:rsidR="005E16F8" w:rsidRPr="00B10FCE" w:rsidRDefault="005E16F8" w:rsidP="005E16F8">
      <w:pPr>
        <w:pStyle w:val="ListParagraph"/>
        <w:numPr>
          <w:ilvl w:val="0"/>
          <w:numId w:val="20"/>
        </w:numPr>
        <w:rPr>
          <w:rStyle w:val="eop"/>
        </w:rPr>
      </w:pPr>
      <w:r w:rsidRPr="00B10FCE">
        <w:rPr>
          <w:rStyle w:val="normaltextrun"/>
          <w:rFonts w:ascii="Aptos" w:hAnsi="Aptos" w:cs="Segoe UI"/>
        </w:rPr>
        <w:t>Facilitate connections and discussions with CRPs and station groups across Britain;</w:t>
      </w:r>
    </w:p>
    <w:p w14:paraId="4C2D9942" w14:textId="59E0AC37" w:rsidR="005E16F8" w:rsidRPr="00B10FCE" w:rsidRDefault="005E16F8" w:rsidP="005E16F8">
      <w:pPr>
        <w:pStyle w:val="ListParagraph"/>
        <w:numPr>
          <w:ilvl w:val="0"/>
          <w:numId w:val="20"/>
        </w:numPr>
      </w:pPr>
      <w:r w:rsidRPr="00B10FCE">
        <w:rPr>
          <w:rStyle w:val="normaltextrun"/>
          <w:rFonts w:ascii="Aptos" w:hAnsi="Aptos" w:cs="Segoe UI"/>
        </w:rPr>
        <w:t>Support and advise on the design and delivery of strategies, plans, processes and ways of working.</w:t>
      </w:r>
    </w:p>
    <w:p w14:paraId="740264CD" w14:textId="096A706A" w:rsidR="005E16F8" w:rsidRDefault="005E16F8" w:rsidP="005E16F8">
      <w:pPr>
        <w:rPr>
          <w:rFonts w:ascii="Segoe UI" w:hAnsi="Segoe UI"/>
          <w:sz w:val="18"/>
          <w:szCs w:val="18"/>
        </w:rPr>
      </w:pPr>
      <w:r>
        <w:rPr>
          <w:rStyle w:val="normaltextrun"/>
          <w:rFonts w:ascii="Aptos" w:hAnsi="Aptos" w:cs="Segoe UI"/>
          <w:b/>
          <w:bCs/>
        </w:rPr>
        <w:t>For further information or to discuss these opportunities, please contact Rob Lowson, policy, research and resources officer, at </w:t>
      </w:r>
      <w:hyperlink r:id="rId15" w:tgtFrame="_blank" w:history="1">
        <w:r>
          <w:rPr>
            <w:rStyle w:val="normaltextrun"/>
            <w:rFonts w:ascii="Aptos" w:hAnsi="Aptos" w:cs="Segoe UI"/>
            <w:b/>
            <w:bCs/>
            <w:color w:val="467886"/>
            <w:u w:val="single"/>
          </w:rPr>
          <w:t>rob@communityrail.org.uk</w:t>
        </w:r>
      </w:hyperlink>
      <w:r>
        <w:rPr>
          <w:rStyle w:val="normaltextrun"/>
          <w:rFonts w:ascii="Aptos" w:hAnsi="Aptos" w:cs="Segoe UI"/>
          <w:b/>
          <w:bCs/>
        </w:rPr>
        <w:t> </w:t>
      </w:r>
    </w:p>
    <w:p w14:paraId="1AE2008A" w14:textId="77777777" w:rsidR="005E16F8" w:rsidRDefault="005E16F8" w:rsidP="005E16F8">
      <w:pPr>
        <w:rPr>
          <w:rFonts w:ascii="Segoe UI" w:hAnsi="Segoe UI"/>
          <w:sz w:val="18"/>
          <w:szCs w:val="18"/>
        </w:rPr>
      </w:pPr>
      <w:r>
        <w:rPr>
          <w:rStyle w:val="eop"/>
          <w:rFonts w:ascii="Aptos" w:hAnsi="Aptos" w:cs="Segoe UI"/>
        </w:rPr>
        <w:t> </w:t>
      </w:r>
    </w:p>
    <w:p w14:paraId="0E4C67D1" w14:textId="77777777" w:rsidR="0001012D" w:rsidRDefault="0001012D"/>
    <w:sectPr w:rsidR="0001012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895A" w14:textId="77777777" w:rsidR="00547A40" w:rsidRDefault="00547A40" w:rsidP="0001012D">
      <w:pPr>
        <w:spacing w:after="0" w:line="240" w:lineRule="auto"/>
      </w:pPr>
      <w:r>
        <w:separator/>
      </w:r>
    </w:p>
  </w:endnote>
  <w:endnote w:type="continuationSeparator" w:id="0">
    <w:p w14:paraId="79C75E3D" w14:textId="77777777" w:rsidR="00547A40" w:rsidRDefault="00547A40" w:rsidP="0001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4872" w14:textId="4524D622" w:rsidR="0001012D" w:rsidRDefault="0001012D" w:rsidP="0001012D">
    <w:pPr>
      <w:pStyle w:val="Footer"/>
      <w:jc w:val="right"/>
    </w:pPr>
    <w:r>
      <w:rPr>
        <w:rFonts w:eastAsia="Times New Roman"/>
        <w:noProof/>
      </w:rPr>
      <w:drawing>
        <wp:inline distT="0" distB="0" distL="0" distR="0" wp14:anchorId="37ED5E33" wp14:editId="76AC1E98">
          <wp:extent cx="1828800" cy="450850"/>
          <wp:effectExtent l="0" t="0" r="0" b="6350"/>
          <wp:docPr id="1541013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754ACB2-EF51-42EB-A895-6C6E522B1AB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28800" cy="450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211D6" w14:textId="77777777" w:rsidR="00547A40" w:rsidRDefault="00547A40" w:rsidP="0001012D">
      <w:pPr>
        <w:spacing w:after="0" w:line="240" w:lineRule="auto"/>
      </w:pPr>
      <w:r>
        <w:separator/>
      </w:r>
    </w:p>
  </w:footnote>
  <w:footnote w:type="continuationSeparator" w:id="0">
    <w:p w14:paraId="4E1B941E" w14:textId="77777777" w:rsidR="00547A40" w:rsidRDefault="00547A40" w:rsidP="00010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E7FA" w14:textId="1FDEA674" w:rsidR="0001012D" w:rsidRDefault="0001012D">
    <w:pPr>
      <w:pStyle w:val="Header"/>
    </w:pPr>
    <w:r>
      <w:rPr>
        <w:rFonts w:eastAsia="Times New Roman"/>
        <w:noProof/>
      </w:rPr>
      <w:drawing>
        <wp:inline distT="0" distB="0" distL="0" distR="0" wp14:anchorId="3BA464F7" wp14:editId="7A73611C">
          <wp:extent cx="5731510" cy="542343"/>
          <wp:effectExtent l="0" t="0" r="2540" b="0"/>
          <wp:docPr id="1" name="990E3E93-D01F-44E6-B0AA-97C3872DE2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0E3E93-D01F-44E6-B0AA-97C3872DE2E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5423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7F6"/>
    <w:multiLevelType w:val="multilevel"/>
    <w:tmpl w:val="FD30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FB0B0D"/>
    <w:multiLevelType w:val="multilevel"/>
    <w:tmpl w:val="35FA19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B8C665E"/>
    <w:multiLevelType w:val="multilevel"/>
    <w:tmpl w:val="C3F4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4F5249"/>
    <w:multiLevelType w:val="multilevel"/>
    <w:tmpl w:val="EE3E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BF5CCF"/>
    <w:multiLevelType w:val="multilevel"/>
    <w:tmpl w:val="7528EA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31D23BB"/>
    <w:multiLevelType w:val="multilevel"/>
    <w:tmpl w:val="D966A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A691E53"/>
    <w:multiLevelType w:val="multilevel"/>
    <w:tmpl w:val="2AC405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2F90DF0"/>
    <w:multiLevelType w:val="multilevel"/>
    <w:tmpl w:val="B42E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AB6847"/>
    <w:multiLevelType w:val="hybridMultilevel"/>
    <w:tmpl w:val="5596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14D07"/>
    <w:multiLevelType w:val="multilevel"/>
    <w:tmpl w:val="BAF601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4494DE9"/>
    <w:multiLevelType w:val="multilevel"/>
    <w:tmpl w:val="61FC7E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0056635"/>
    <w:multiLevelType w:val="multilevel"/>
    <w:tmpl w:val="877656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241120C"/>
    <w:multiLevelType w:val="multilevel"/>
    <w:tmpl w:val="D966A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3796196"/>
    <w:multiLevelType w:val="multilevel"/>
    <w:tmpl w:val="2B5479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380684A"/>
    <w:multiLevelType w:val="multilevel"/>
    <w:tmpl w:val="3D7640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79C0ECD"/>
    <w:multiLevelType w:val="multilevel"/>
    <w:tmpl w:val="FD7629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98152A4"/>
    <w:multiLevelType w:val="multilevel"/>
    <w:tmpl w:val="26862A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5922201"/>
    <w:multiLevelType w:val="multilevel"/>
    <w:tmpl w:val="54C455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D7B295E"/>
    <w:multiLevelType w:val="multilevel"/>
    <w:tmpl w:val="D966A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DA4468C"/>
    <w:multiLevelType w:val="multilevel"/>
    <w:tmpl w:val="D966A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71344219">
    <w:abstractNumId w:val="5"/>
  </w:num>
  <w:num w:numId="2" w16cid:durableId="956373559">
    <w:abstractNumId w:val="6"/>
  </w:num>
  <w:num w:numId="3" w16cid:durableId="161822173">
    <w:abstractNumId w:val="15"/>
  </w:num>
  <w:num w:numId="4" w16cid:durableId="1117796845">
    <w:abstractNumId w:val="4"/>
  </w:num>
  <w:num w:numId="5" w16cid:durableId="929241231">
    <w:abstractNumId w:val="16"/>
  </w:num>
  <w:num w:numId="6" w16cid:durableId="1484201388">
    <w:abstractNumId w:val="14"/>
  </w:num>
  <w:num w:numId="7" w16cid:durableId="531654718">
    <w:abstractNumId w:val="17"/>
  </w:num>
  <w:num w:numId="8" w16cid:durableId="1447849493">
    <w:abstractNumId w:val="9"/>
  </w:num>
  <w:num w:numId="9" w16cid:durableId="1135441920">
    <w:abstractNumId w:val="11"/>
  </w:num>
  <w:num w:numId="10" w16cid:durableId="1392847739">
    <w:abstractNumId w:val="13"/>
  </w:num>
  <w:num w:numId="11" w16cid:durableId="621569194">
    <w:abstractNumId w:val="10"/>
  </w:num>
  <w:num w:numId="12" w16cid:durableId="211161096">
    <w:abstractNumId w:val="1"/>
  </w:num>
  <w:num w:numId="13" w16cid:durableId="1114668441">
    <w:abstractNumId w:val="7"/>
  </w:num>
  <w:num w:numId="14" w16cid:durableId="1409763426">
    <w:abstractNumId w:val="2"/>
  </w:num>
  <w:num w:numId="15" w16cid:durableId="1905486008">
    <w:abstractNumId w:val="0"/>
  </w:num>
  <w:num w:numId="16" w16cid:durableId="2017002404">
    <w:abstractNumId w:val="3"/>
  </w:num>
  <w:num w:numId="17" w16cid:durableId="89591884">
    <w:abstractNumId w:val="12"/>
  </w:num>
  <w:num w:numId="18" w16cid:durableId="1205632575">
    <w:abstractNumId w:val="19"/>
  </w:num>
  <w:num w:numId="19" w16cid:durableId="272900728">
    <w:abstractNumId w:val="18"/>
  </w:num>
  <w:num w:numId="20" w16cid:durableId="4760744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2D"/>
    <w:rsid w:val="0001012D"/>
    <w:rsid w:val="000A040B"/>
    <w:rsid w:val="00173B2B"/>
    <w:rsid w:val="001D3B1B"/>
    <w:rsid w:val="00334275"/>
    <w:rsid w:val="00547A40"/>
    <w:rsid w:val="005E16F8"/>
    <w:rsid w:val="005F757F"/>
    <w:rsid w:val="00642D0D"/>
    <w:rsid w:val="006E4AC2"/>
    <w:rsid w:val="006F6FBB"/>
    <w:rsid w:val="007A3728"/>
    <w:rsid w:val="00855841"/>
    <w:rsid w:val="00936D57"/>
    <w:rsid w:val="00A1237A"/>
    <w:rsid w:val="00A878DD"/>
    <w:rsid w:val="00AB66C3"/>
    <w:rsid w:val="00B10FCE"/>
    <w:rsid w:val="00F17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67EFE"/>
  <w15:chartTrackingRefBased/>
  <w15:docId w15:val="{BD640797-78C5-4AC4-8343-421582A2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12D"/>
    <w:rPr>
      <w:rFonts w:eastAsiaTheme="majorEastAsia" w:cstheme="majorBidi"/>
      <w:color w:val="272727" w:themeColor="text1" w:themeTint="D8"/>
    </w:rPr>
  </w:style>
  <w:style w:type="paragraph" w:styleId="Title">
    <w:name w:val="Title"/>
    <w:basedOn w:val="Normal"/>
    <w:next w:val="Normal"/>
    <w:link w:val="TitleChar"/>
    <w:uiPriority w:val="10"/>
    <w:qFormat/>
    <w:rsid w:val="00010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12D"/>
    <w:pPr>
      <w:spacing w:before="160"/>
      <w:jc w:val="center"/>
    </w:pPr>
    <w:rPr>
      <w:i/>
      <w:iCs/>
      <w:color w:val="404040" w:themeColor="text1" w:themeTint="BF"/>
    </w:rPr>
  </w:style>
  <w:style w:type="character" w:customStyle="1" w:styleId="QuoteChar">
    <w:name w:val="Quote Char"/>
    <w:basedOn w:val="DefaultParagraphFont"/>
    <w:link w:val="Quote"/>
    <w:uiPriority w:val="29"/>
    <w:rsid w:val="0001012D"/>
    <w:rPr>
      <w:i/>
      <w:iCs/>
      <w:color w:val="404040" w:themeColor="text1" w:themeTint="BF"/>
    </w:rPr>
  </w:style>
  <w:style w:type="paragraph" w:styleId="ListParagraph">
    <w:name w:val="List Paragraph"/>
    <w:basedOn w:val="Normal"/>
    <w:uiPriority w:val="34"/>
    <w:qFormat/>
    <w:rsid w:val="0001012D"/>
    <w:pPr>
      <w:ind w:left="720"/>
      <w:contextualSpacing/>
    </w:pPr>
  </w:style>
  <w:style w:type="character" w:styleId="IntenseEmphasis">
    <w:name w:val="Intense Emphasis"/>
    <w:basedOn w:val="DefaultParagraphFont"/>
    <w:uiPriority w:val="21"/>
    <w:qFormat/>
    <w:rsid w:val="0001012D"/>
    <w:rPr>
      <w:i/>
      <w:iCs/>
      <w:color w:val="0F4761" w:themeColor="accent1" w:themeShade="BF"/>
    </w:rPr>
  </w:style>
  <w:style w:type="paragraph" w:styleId="IntenseQuote">
    <w:name w:val="Intense Quote"/>
    <w:basedOn w:val="Normal"/>
    <w:next w:val="Normal"/>
    <w:link w:val="IntenseQuoteChar"/>
    <w:uiPriority w:val="30"/>
    <w:qFormat/>
    <w:rsid w:val="00010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12D"/>
    <w:rPr>
      <w:i/>
      <w:iCs/>
      <w:color w:val="0F4761" w:themeColor="accent1" w:themeShade="BF"/>
    </w:rPr>
  </w:style>
  <w:style w:type="character" w:styleId="IntenseReference">
    <w:name w:val="Intense Reference"/>
    <w:basedOn w:val="DefaultParagraphFont"/>
    <w:uiPriority w:val="32"/>
    <w:qFormat/>
    <w:rsid w:val="0001012D"/>
    <w:rPr>
      <w:b/>
      <w:bCs/>
      <w:smallCaps/>
      <w:color w:val="0F4761" w:themeColor="accent1" w:themeShade="BF"/>
      <w:spacing w:val="5"/>
    </w:rPr>
  </w:style>
  <w:style w:type="paragraph" w:styleId="Header">
    <w:name w:val="header"/>
    <w:basedOn w:val="Normal"/>
    <w:link w:val="HeaderChar"/>
    <w:uiPriority w:val="99"/>
    <w:unhideWhenUsed/>
    <w:rsid w:val="00010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12D"/>
  </w:style>
  <w:style w:type="paragraph" w:styleId="Footer">
    <w:name w:val="footer"/>
    <w:basedOn w:val="Normal"/>
    <w:link w:val="FooterChar"/>
    <w:uiPriority w:val="99"/>
    <w:unhideWhenUsed/>
    <w:rsid w:val="00010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12D"/>
  </w:style>
  <w:style w:type="paragraph" w:customStyle="1" w:styleId="paragraph">
    <w:name w:val="paragraph"/>
    <w:basedOn w:val="Normal"/>
    <w:rsid w:val="005E16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E16F8"/>
  </w:style>
  <w:style w:type="character" w:customStyle="1" w:styleId="scxw102933699">
    <w:name w:val="scxw102933699"/>
    <w:basedOn w:val="DefaultParagraphFont"/>
    <w:rsid w:val="005E16F8"/>
  </w:style>
  <w:style w:type="character" w:customStyle="1" w:styleId="eop">
    <w:name w:val="eop"/>
    <w:basedOn w:val="DefaultParagraphFont"/>
    <w:rsid w:val="005E16F8"/>
  </w:style>
  <w:style w:type="character" w:styleId="Hyperlink">
    <w:name w:val="Hyperlink"/>
    <w:basedOn w:val="DefaultParagraphFont"/>
    <w:uiPriority w:val="99"/>
    <w:unhideWhenUsed/>
    <w:rsid w:val="005F757F"/>
    <w:rPr>
      <w:color w:val="467886" w:themeColor="hyperlink"/>
      <w:u w:val="single"/>
    </w:rPr>
  </w:style>
  <w:style w:type="character" w:styleId="UnresolvedMention">
    <w:name w:val="Unresolved Mention"/>
    <w:basedOn w:val="DefaultParagraphFont"/>
    <w:uiPriority w:val="99"/>
    <w:semiHidden/>
    <w:unhideWhenUsed/>
    <w:rsid w:val="005F757F"/>
    <w:rPr>
      <w:color w:val="605E5C"/>
      <w:shd w:val="clear" w:color="auto" w:fill="E1DFDD"/>
    </w:rPr>
  </w:style>
  <w:style w:type="character" w:styleId="FollowedHyperlink">
    <w:name w:val="FollowedHyperlink"/>
    <w:basedOn w:val="DefaultParagraphFont"/>
    <w:uiPriority w:val="99"/>
    <w:semiHidden/>
    <w:unhideWhenUsed/>
    <w:rsid w:val="008558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rail.org.uk/resources/policy-papers-and-consultation-responses/" TargetMode="External"/><Relationship Id="rId13" Type="http://schemas.openxmlformats.org/officeDocument/2006/relationships/hyperlink" Target="http://www.communityrail.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great-british-railways" TargetMode="External"/><Relationship Id="rId12" Type="http://schemas.openxmlformats.org/officeDocument/2006/relationships/hyperlink" Target="https://www.gov.uk/government/publications/community-rail-development-strategy/connecting-communities-with-the-railways-the-community-rail-development-strateg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rail.org.uk/about-us/who-we-are/" TargetMode="External"/><Relationship Id="rId5" Type="http://schemas.openxmlformats.org/officeDocument/2006/relationships/footnotes" Target="footnotes.xml"/><Relationship Id="rId15" Type="http://schemas.openxmlformats.org/officeDocument/2006/relationships/hyperlink" Target="mailto:rob@communityrail.org.uk" TargetMode="External"/><Relationship Id="rId10" Type="http://schemas.openxmlformats.org/officeDocument/2006/relationships/hyperlink" Target="https://communityrail.org.uk/wp-content/uploads/2024/09/VoCR-24-summary-FINAL-FOR-WEB.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munityrail.org.uk/about-us/what-is-community-rail/" TargetMode="External"/><Relationship Id="rId14" Type="http://schemas.openxmlformats.org/officeDocument/2006/relationships/hyperlink" Target="https://www.gov.uk/government/publications/community-rail-development-strategy/connecting-communities-with-the-railways-the-community-rail-development-strategy"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53A782BF-5609-4C13-A254-466906979679@lan"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835997E8-E7F0-4DEC-8F10-2CED50C7357F@la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Lowson</dc:creator>
  <cp:keywords/>
  <dc:description/>
  <cp:lastModifiedBy>Erin Kelly</cp:lastModifiedBy>
  <cp:revision>2</cp:revision>
  <dcterms:created xsi:type="dcterms:W3CDTF">2026-07-08T11:17:00Z</dcterms:created>
  <dcterms:modified xsi:type="dcterms:W3CDTF">2026-07-08T11:17:00Z</dcterms:modified>
</cp:coreProperties>
</file>